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3C" w:rsidRDefault="004770D5" w:rsidP="004770D5">
      <w:pPr>
        <w:jc w:val="right"/>
        <w:rPr>
          <w:rFonts w:ascii="Lato Regular" w:hAnsi="Lato Regular"/>
          <w:b/>
          <w:color w:val="000000" w:themeColor="text1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Lato Regular" w:hAnsi="Lato Regular"/>
          <w:b/>
          <w:color w:val="000000" w:themeColor="text1"/>
          <w:shd w:val="clear" w:color="auto" w:fill="FFFFFF"/>
        </w:rPr>
        <w:t>Додаток</w:t>
      </w:r>
      <w:proofErr w:type="spellEnd"/>
      <w:r>
        <w:rPr>
          <w:rFonts w:ascii="Lato Regular" w:hAnsi="Lato Regular"/>
          <w:b/>
          <w:color w:val="000000" w:themeColor="text1"/>
          <w:shd w:val="clear" w:color="auto" w:fill="FFFFFF"/>
        </w:rPr>
        <w:t xml:space="preserve"> 2</w:t>
      </w:r>
    </w:p>
    <w:p w:rsidR="003D1F79" w:rsidRPr="00D3093C" w:rsidRDefault="004770D5" w:rsidP="003D1F79">
      <w:pPr>
        <w:jc w:val="center"/>
        <w:rPr>
          <w:rFonts w:ascii="Lato Regular" w:hAnsi="Lato Regular"/>
          <w:b/>
          <w:color w:val="000000" w:themeColor="text1"/>
          <w:shd w:val="clear" w:color="auto" w:fill="FFFFFF"/>
        </w:rPr>
      </w:pPr>
      <w:proofErr w:type="spellStart"/>
      <w:r>
        <w:rPr>
          <w:rFonts w:ascii="Lato Regular" w:hAnsi="Lato Regular"/>
          <w:b/>
          <w:color w:val="000000" w:themeColor="text1"/>
          <w:shd w:val="clear" w:color="auto" w:fill="FFFFFF"/>
        </w:rPr>
        <w:t>Додатков</w:t>
      </w:r>
      <w:proofErr w:type="spellEnd"/>
      <w:r>
        <w:rPr>
          <w:rFonts w:ascii="Lato Regular" w:hAnsi="Lato Regular"/>
          <w:b/>
          <w:color w:val="000000" w:themeColor="text1"/>
          <w:shd w:val="clear" w:color="auto" w:fill="FFFFFF"/>
          <w:lang w:val="uk-UA"/>
        </w:rPr>
        <w:t xml:space="preserve">і </w:t>
      </w:r>
      <w:proofErr w:type="spellStart"/>
      <w:r>
        <w:rPr>
          <w:rFonts w:ascii="Lato Regular" w:hAnsi="Lato Regular"/>
          <w:b/>
          <w:color w:val="000000" w:themeColor="text1"/>
          <w:shd w:val="clear" w:color="auto" w:fill="FFFFFF"/>
        </w:rPr>
        <w:t>критерії</w:t>
      </w:r>
      <w:proofErr w:type="spellEnd"/>
    </w:p>
    <w:p w:rsidR="007E1E80" w:rsidRPr="00D3093C" w:rsidRDefault="00D07106" w:rsidP="00EB3C35">
      <w:pPr>
        <w:jc w:val="center"/>
        <w:rPr>
          <w:b/>
          <w:color w:val="000000" w:themeColor="text1"/>
        </w:rPr>
      </w:pPr>
      <w:r>
        <w:rPr>
          <w:rFonts w:ascii="Lato Regular" w:hAnsi="Lato Regular" w:hint="eastAsia"/>
          <w:b/>
          <w:color w:val="000000" w:themeColor="text1"/>
          <w:shd w:val="clear" w:color="auto" w:fill="FFFFFF"/>
        </w:rPr>
        <w:t>в</w:t>
      </w:r>
      <w:proofErr w:type="spellStart"/>
      <w:r w:rsidR="00EB3C35">
        <w:rPr>
          <w:rFonts w:ascii="Lato Regular" w:hAnsi="Lato Regular"/>
          <w:b/>
          <w:color w:val="000000" w:themeColor="text1"/>
          <w:shd w:val="clear" w:color="auto" w:fill="FFFFFF"/>
          <w:lang w:val="uk-UA"/>
        </w:rPr>
        <w:t>ідбору</w:t>
      </w:r>
      <w:proofErr w:type="spellEnd"/>
      <w:r w:rsidR="00EB3C35">
        <w:rPr>
          <w:rFonts w:ascii="Lato Regular" w:hAnsi="Lato Regular"/>
          <w:b/>
          <w:color w:val="000000" w:themeColor="text1"/>
          <w:shd w:val="clear" w:color="auto" w:fill="FFFFFF"/>
          <w:lang w:val="uk-UA"/>
        </w:rPr>
        <w:t xml:space="preserve"> кандидатів для обрання аудитора (суб’єкт</w:t>
      </w:r>
      <w:r w:rsidR="00EB3C35">
        <w:rPr>
          <w:rFonts w:ascii="Lato Regular" w:hAnsi="Lato Regular" w:hint="eastAsia"/>
          <w:b/>
          <w:color w:val="000000" w:themeColor="text1"/>
          <w:shd w:val="clear" w:color="auto" w:fill="FFFFFF"/>
          <w:lang w:val="uk-UA"/>
        </w:rPr>
        <w:t>а</w:t>
      </w:r>
      <w:r w:rsidR="00EB3C35">
        <w:rPr>
          <w:rFonts w:ascii="Lato Regular" w:hAnsi="Lato Regular"/>
          <w:b/>
          <w:color w:val="000000" w:themeColor="text1"/>
          <w:shd w:val="clear" w:color="auto" w:fill="FFFFFF"/>
          <w:lang w:val="uk-UA"/>
        </w:rPr>
        <w:t xml:space="preserve"> аудиторської діяльності) для надання послуг по обов’язковом</w:t>
      </w:r>
      <w:r w:rsidR="00EB3C35">
        <w:rPr>
          <w:rFonts w:ascii="Lato Regular" w:hAnsi="Lato Regular" w:hint="eastAsia"/>
          <w:b/>
          <w:color w:val="000000" w:themeColor="text1"/>
          <w:shd w:val="clear" w:color="auto" w:fill="FFFFFF"/>
          <w:lang w:val="uk-UA"/>
        </w:rPr>
        <w:t>у</w:t>
      </w:r>
      <w:r w:rsidR="00EB3C35">
        <w:rPr>
          <w:rFonts w:ascii="Lato Regular" w:hAnsi="Lato Regular"/>
          <w:b/>
          <w:color w:val="000000" w:themeColor="text1"/>
          <w:shd w:val="clear" w:color="auto" w:fill="FFFFFF"/>
          <w:lang w:val="uk-UA"/>
        </w:rPr>
        <w:t xml:space="preserve"> аудиту фінансової звітності АТ «ПУМБ» </w:t>
      </w:r>
    </w:p>
    <w:p w:rsidR="003D1F79" w:rsidRPr="00D3093C" w:rsidRDefault="003D1F79">
      <w:pPr>
        <w:rPr>
          <w:color w:val="000000" w:themeColor="text1"/>
        </w:rPr>
      </w:pPr>
    </w:p>
    <w:tbl>
      <w:tblPr>
        <w:tblW w:w="10207" w:type="dxa"/>
        <w:tblInd w:w="-2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3"/>
        <w:gridCol w:w="9594"/>
      </w:tblGrid>
      <w:tr w:rsidR="003D1F79" w:rsidRPr="003D1F79" w:rsidTr="00D3093C">
        <w:trPr>
          <w:trHeight w:val="65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D1F79" w:rsidRPr="00D3093C" w:rsidRDefault="003D1F79" w:rsidP="003D1F79">
            <w:pPr>
              <w:tabs>
                <w:tab w:val="left" w:pos="660"/>
              </w:tabs>
              <w:jc w:val="center"/>
              <w:rPr>
                <w:i/>
                <w:sz w:val="22"/>
                <w:szCs w:val="22"/>
              </w:rPr>
            </w:pPr>
            <w:r w:rsidRPr="00D3093C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D1F79" w:rsidRPr="00E80A77" w:rsidRDefault="00E80A77" w:rsidP="003D1F79">
            <w:pPr>
              <w:tabs>
                <w:tab w:val="left" w:pos="66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</w:rPr>
              <w:t>Крите</w:t>
            </w:r>
            <w:r>
              <w:rPr>
                <w:i/>
                <w:sz w:val="22"/>
                <w:szCs w:val="22"/>
                <w:lang w:val="uk-UA"/>
              </w:rPr>
              <w:t>рій, що оцінюється</w:t>
            </w:r>
          </w:p>
        </w:tc>
      </w:tr>
      <w:tr w:rsidR="003D1F79" w:rsidRPr="004C20A0" w:rsidTr="00D3093C">
        <w:trPr>
          <w:trHeight w:val="65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D1F79" w:rsidRPr="00D3093C" w:rsidRDefault="003D1F79" w:rsidP="00EE3BC9">
            <w:pPr>
              <w:tabs>
                <w:tab w:val="left" w:pos="66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D3093C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1F79" w:rsidRPr="00D3093C" w:rsidRDefault="00C103F9" w:rsidP="00C103F9">
            <w:pPr>
              <w:tabs>
                <w:tab w:val="left" w:pos="660"/>
              </w:tabs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Позитивний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досв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ід проведення аудиторських послуг в банківській сфері </w:t>
            </w:r>
          </w:p>
        </w:tc>
      </w:tr>
      <w:tr w:rsidR="003D1F79" w:rsidRPr="004C20A0" w:rsidTr="00D3093C">
        <w:trPr>
          <w:trHeight w:val="65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D1F79" w:rsidRPr="00D3093C" w:rsidRDefault="00A069FB" w:rsidP="00EE3BC9">
            <w:pPr>
              <w:tabs>
                <w:tab w:val="left" w:pos="660"/>
              </w:tabs>
              <w:rPr>
                <w:sz w:val="22"/>
                <w:szCs w:val="22"/>
              </w:rPr>
            </w:pPr>
            <w:r w:rsidRPr="00D3093C">
              <w:rPr>
                <w:sz w:val="22"/>
                <w:szCs w:val="22"/>
              </w:rPr>
              <w:t>1.1.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1F79" w:rsidRPr="00D3093C" w:rsidRDefault="00C103F9" w:rsidP="00C103F9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Загальний період роботи на ринку України </w:t>
            </w:r>
          </w:p>
        </w:tc>
      </w:tr>
      <w:tr w:rsidR="003D1F79" w:rsidRPr="004C20A0" w:rsidTr="00D3093C">
        <w:trPr>
          <w:trHeight w:val="212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D1F79" w:rsidRPr="00D3093C" w:rsidRDefault="00A069FB" w:rsidP="00EE3BC9">
            <w:pPr>
              <w:tabs>
                <w:tab w:val="left" w:pos="660"/>
              </w:tabs>
              <w:rPr>
                <w:sz w:val="22"/>
                <w:szCs w:val="22"/>
              </w:rPr>
            </w:pPr>
            <w:r w:rsidRPr="00D3093C">
              <w:rPr>
                <w:sz w:val="22"/>
                <w:szCs w:val="22"/>
              </w:rPr>
              <w:t>1.2.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1F79" w:rsidRPr="00D3093C" w:rsidRDefault="00C103F9" w:rsidP="00C103F9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Період роботи по аудиту банківської діяльності </w:t>
            </w:r>
          </w:p>
        </w:tc>
      </w:tr>
      <w:tr w:rsidR="003D1F79" w:rsidRPr="004C20A0" w:rsidTr="00D3093C">
        <w:trPr>
          <w:trHeight w:val="284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D1F79" w:rsidRPr="00D3093C" w:rsidRDefault="00A069FB" w:rsidP="00EE3BC9">
            <w:pPr>
              <w:tabs>
                <w:tab w:val="left" w:pos="660"/>
              </w:tabs>
              <w:rPr>
                <w:sz w:val="22"/>
                <w:szCs w:val="22"/>
              </w:rPr>
            </w:pPr>
            <w:r w:rsidRPr="00D3093C">
              <w:rPr>
                <w:sz w:val="22"/>
                <w:szCs w:val="22"/>
              </w:rPr>
              <w:t>1.3.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1F79" w:rsidRPr="00D3093C" w:rsidRDefault="00C103F9" w:rsidP="00C103F9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Загальна</w:t>
            </w:r>
            <w:r w:rsidR="00E80A77">
              <w:rPr>
                <w:sz w:val="22"/>
                <w:szCs w:val="22"/>
                <w:lang w:val="uk-UA"/>
              </w:rPr>
              <w:t xml:space="preserve"> кількість контрактів, шт. (2020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</w:tc>
      </w:tr>
      <w:tr w:rsidR="003D1F79" w:rsidRPr="004C20A0" w:rsidTr="00D3093C">
        <w:trPr>
          <w:trHeight w:val="195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D1F79" w:rsidRPr="00D3093C" w:rsidRDefault="00A069FB" w:rsidP="00EE3BC9">
            <w:pPr>
              <w:tabs>
                <w:tab w:val="left" w:pos="660"/>
              </w:tabs>
              <w:rPr>
                <w:sz w:val="22"/>
                <w:szCs w:val="22"/>
              </w:rPr>
            </w:pPr>
            <w:r w:rsidRPr="00D3093C">
              <w:rPr>
                <w:sz w:val="22"/>
                <w:szCs w:val="22"/>
              </w:rPr>
              <w:t>1.4.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1F79" w:rsidRPr="00D3093C" w:rsidRDefault="00C103F9" w:rsidP="00C103F9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вартість контрактів, в </w:t>
            </w:r>
            <w:proofErr w:type="spellStart"/>
            <w:r>
              <w:rPr>
                <w:sz w:val="22"/>
                <w:szCs w:val="22"/>
                <w:lang w:val="uk-UA"/>
              </w:rPr>
              <w:t>дол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екв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E80A77">
              <w:rPr>
                <w:sz w:val="22"/>
                <w:szCs w:val="22"/>
              </w:rPr>
              <w:t>(за 2020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рік</w:t>
            </w:r>
            <w:proofErr w:type="spellEnd"/>
            <w:r w:rsidR="003D1F79" w:rsidRPr="00D3093C">
              <w:rPr>
                <w:sz w:val="22"/>
                <w:szCs w:val="22"/>
              </w:rPr>
              <w:t>)</w:t>
            </w:r>
          </w:p>
        </w:tc>
      </w:tr>
      <w:tr w:rsidR="003D1F79" w:rsidRPr="004C20A0" w:rsidTr="00D3093C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D1F79" w:rsidRPr="00D3093C" w:rsidRDefault="00A069FB" w:rsidP="00EE3BC9">
            <w:pPr>
              <w:tabs>
                <w:tab w:val="left" w:pos="660"/>
              </w:tabs>
              <w:rPr>
                <w:sz w:val="22"/>
                <w:szCs w:val="22"/>
              </w:rPr>
            </w:pPr>
            <w:r w:rsidRPr="00D3093C">
              <w:rPr>
                <w:sz w:val="22"/>
                <w:szCs w:val="22"/>
              </w:rPr>
              <w:t>1.5.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1F79" w:rsidRPr="00D3093C" w:rsidRDefault="00C103F9" w:rsidP="00C103F9">
            <w:pPr>
              <w:tabs>
                <w:tab w:val="left" w:pos="66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Наявність досвіду аудиту звітності спеціального призначення банківської групи </w:t>
            </w:r>
          </w:p>
        </w:tc>
      </w:tr>
      <w:tr w:rsidR="003D1F79" w:rsidRPr="004C20A0" w:rsidTr="00D3093C">
        <w:trPr>
          <w:trHeight w:val="169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D1F79" w:rsidRPr="00D3093C" w:rsidRDefault="00A069FB" w:rsidP="003D1F79">
            <w:pPr>
              <w:tabs>
                <w:tab w:val="left" w:pos="660"/>
              </w:tabs>
              <w:rPr>
                <w:sz w:val="22"/>
                <w:szCs w:val="22"/>
              </w:rPr>
            </w:pPr>
            <w:r w:rsidRPr="00D3093C">
              <w:rPr>
                <w:sz w:val="22"/>
                <w:szCs w:val="22"/>
              </w:rPr>
              <w:t>1.6.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1F79" w:rsidRPr="00D3093C" w:rsidRDefault="00C103F9" w:rsidP="00C103F9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Досвід співробітництва з ПУМБ </w:t>
            </w:r>
          </w:p>
        </w:tc>
      </w:tr>
      <w:tr w:rsidR="003D1F79" w:rsidRPr="004C20A0" w:rsidTr="00D3093C">
        <w:trPr>
          <w:trHeight w:val="220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D1F79" w:rsidRPr="00D3093C" w:rsidRDefault="00A069FB" w:rsidP="00EE3BC9">
            <w:pPr>
              <w:tabs>
                <w:tab w:val="left" w:pos="660"/>
              </w:tabs>
              <w:rPr>
                <w:sz w:val="22"/>
                <w:szCs w:val="22"/>
              </w:rPr>
            </w:pPr>
            <w:r w:rsidRPr="00D3093C">
              <w:rPr>
                <w:sz w:val="22"/>
                <w:szCs w:val="22"/>
              </w:rPr>
              <w:t>1.7.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1F79" w:rsidRPr="00D3093C" w:rsidRDefault="00C103F9" w:rsidP="00C103F9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клієнтів із банківської сфери </w:t>
            </w:r>
          </w:p>
        </w:tc>
      </w:tr>
      <w:tr w:rsidR="003D1F79" w:rsidRPr="004C20A0" w:rsidTr="00D3093C">
        <w:trPr>
          <w:trHeight w:val="490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D1F79" w:rsidRPr="00D3093C" w:rsidRDefault="00A069FB" w:rsidP="00EE3BC9">
            <w:pPr>
              <w:tabs>
                <w:tab w:val="left" w:pos="660"/>
              </w:tabs>
              <w:rPr>
                <w:sz w:val="22"/>
                <w:szCs w:val="22"/>
              </w:rPr>
            </w:pPr>
            <w:r w:rsidRPr="00D3093C">
              <w:rPr>
                <w:sz w:val="22"/>
                <w:szCs w:val="22"/>
              </w:rPr>
              <w:t>1.8.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1F79" w:rsidRPr="00D3093C" w:rsidRDefault="00C103F9" w:rsidP="00E80A77">
            <w:pPr>
              <w:tabs>
                <w:tab w:val="left" w:pos="66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Наявність комплексної методології по спеціалізації Банку, розуміння бізнесу Банку та специфічних нюансів роботи, використання ІТ інструментів для перевірки облікових систем замовника (</w:t>
            </w:r>
            <w:r w:rsidR="00E80A77">
              <w:rPr>
                <w:sz w:val="22"/>
                <w:szCs w:val="22"/>
                <w:lang w:val="uk-UA"/>
              </w:rPr>
              <w:t>900</w:t>
            </w:r>
            <w:r>
              <w:rPr>
                <w:sz w:val="22"/>
                <w:szCs w:val="22"/>
                <w:lang w:val="uk-UA"/>
              </w:rPr>
              <w:t xml:space="preserve"> млн. документів) </w:t>
            </w:r>
          </w:p>
        </w:tc>
      </w:tr>
      <w:tr w:rsidR="003D1F79" w:rsidRPr="004C20A0" w:rsidTr="00D3093C">
        <w:trPr>
          <w:trHeight w:val="490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D1F79" w:rsidRPr="00D3093C" w:rsidRDefault="00A069FB" w:rsidP="00EE3BC9">
            <w:pPr>
              <w:tabs>
                <w:tab w:val="left" w:pos="660"/>
              </w:tabs>
              <w:rPr>
                <w:sz w:val="22"/>
                <w:szCs w:val="22"/>
              </w:rPr>
            </w:pPr>
            <w:r w:rsidRPr="00D3093C">
              <w:rPr>
                <w:sz w:val="22"/>
                <w:szCs w:val="22"/>
              </w:rPr>
              <w:t>1.9.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1F79" w:rsidRPr="00D3093C" w:rsidRDefault="00C103F9" w:rsidP="00C103F9">
            <w:pPr>
              <w:tabs>
                <w:tab w:val="left" w:pos="66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Наявність бездоганної репутації, яка підтверджується зворотнім зв’язком наявних клієнтів аудитора </w:t>
            </w:r>
          </w:p>
        </w:tc>
      </w:tr>
      <w:tr w:rsidR="00E354D0" w:rsidRPr="00A069FB" w:rsidTr="00D3093C">
        <w:trPr>
          <w:trHeight w:val="267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54D0" w:rsidRPr="00D3093C" w:rsidRDefault="00E354D0" w:rsidP="00EE3BC9">
            <w:pPr>
              <w:tabs>
                <w:tab w:val="left" w:pos="660"/>
              </w:tabs>
              <w:rPr>
                <w:b/>
                <w:sz w:val="22"/>
                <w:szCs w:val="22"/>
              </w:rPr>
            </w:pPr>
            <w:r w:rsidRPr="00D3093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354D0" w:rsidRPr="00D1635A" w:rsidRDefault="00EB3C35" w:rsidP="00D1635A">
            <w:pPr>
              <w:tabs>
                <w:tab w:val="left" w:pos="66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Компетентність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3093C">
              <w:rPr>
                <w:b/>
                <w:sz w:val="22"/>
                <w:szCs w:val="22"/>
              </w:rPr>
              <w:t>залученої</w:t>
            </w:r>
            <w:proofErr w:type="spellEnd"/>
            <w:r w:rsidR="00D1635A">
              <w:rPr>
                <w:b/>
                <w:sz w:val="22"/>
                <w:szCs w:val="22"/>
                <w:lang w:val="uk-UA"/>
              </w:rPr>
              <w:t xml:space="preserve"> команди</w:t>
            </w:r>
          </w:p>
        </w:tc>
      </w:tr>
      <w:tr w:rsidR="00E354D0" w:rsidRPr="004C20A0" w:rsidTr="00D3093C">
        <w:trPr>
          <w:trHeight w:val="263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54D0" w:rsidRPr="00D3093C" w:rsidRDefault="004770D5" w:rsidP="00E354D0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A069FB" w:rsidRPr="00D3093C">
              <w:rPr>
                <w:sz w:val="22"/>
                <w:szCs w:val="22"/>
              </w:rPr>
              <w:t>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354D0" w:rsidRPr="00D3093C" w:rsidRDefault="00D1635A" w:rsidP="00D1635A">
            <w:pPr>
              <w:tabs>
                <w:tab w:val="left" w:pos="66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Квалифікація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команди</w:t>
            </w:r>
            <w:proofErr w:type="spellEnd"/>
            <w:r>
              <w:rPr>
                <w:sz w:val="22"/>
                <w:szCs w:val="22"/>
              </w:rPr>
              <w:t xml:space="preserve"> аудитора, </w:t>
            </w:r>
            <w:proofErr w:type="spellStart"/>
            <w:r>
              <w:rPr>
                <w:sz w:val="22"/>
                <w:szCs w:val="22"/>
              </w:rPr>
              <w:t>залучення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експертів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спеціфічних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питань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354D0" w:rsidRPr="004C20A0" w:rsidTr="00D3093C">
        <w:trPr>
          <w:trHeight w:val="267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54D0" w:rsidRPr="00D3093C" w:rsidRDefault="004770D5" w:rsidP="00E354D0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069FB" w:rsidRPr="00D3093C">
              <w:rPr>
                <w:sz w:val="22"/>
                <w:szCs w:val="22"/>
              </w:rPr>
              <w:t>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354D0" w:rsidRPr="00D3093C" w:rsidRDefault="00D1635A" w:rsidP="00D1635A">
            <w:pPr>
              <w:tabs>
                <w:tab w:val="left" w:pos="66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Аудиторський досвід в банківській галузі ключових експертів в команді (партнер, менеджер) </w:t>
            </w:r>
          </w:p>
        </w:tc>
      </w:tr>
      <w:tr w:rsidR="00E354D0" w:rsidRPr="004C20A0" w:rsidTr="00D3093C">
        <w:trPr>
          <w:trHeight w:val="235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54D0" w:rsidRPr="00D3093C" w:rsidRDefault="004770D5" w:rsidP="00E354D0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A069FB" w:rsidRPr="00D3093C">
              <w:rPr>
                <w:sz w:val="22"/>
                <w:szCs w:val="22"/>
              </w:rPr>
              <w:t>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354D0" w:rsidRPr="00D3093C" w:rsidRDefault="00D1635A" w:rsidP="00D1635A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тренінгів/обговорень для підтримки клієнта з питань нових стандартів та поправок до них </w:t>
            </w:r>
          </w:p>
        </w:tc>
      </w:tr>
      <w:tr w:rsidR="00E354D0" w:rsidRPr="004C20A0" w:rsidTr="00D3093C">
        <w:trPr>
          <w:trHeight w:val="490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54D0" w:rsidRPr="00D3093C" w:rsidRDefault="004770D5" w:rsidP="00E354D0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A069FB" w:rsidRPr="00D3093C">
              <w:rPr>
                <w:sz w:val="22"/>
                <w:szCs w:val="22"/>
              </w:rPr>
              <w:t>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354D0" w:rsidRPr="00D3093C" w:rsidRDefault="00D1635A" w:rsidP="00EB3C35">
            <w:pPr>
              <w:tabs>
                <w:tab w:val="left" w:pos="66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Можливість та спроможність аудитора до роботи в тісній співпраці з клієнтом та в умовах чітких </w:t>
            </w:r>
            <w:proofErr w:type="spellStart"/>
            <w:r>
              <w:rPr>
                <w:sz w:val="22"/>
                <w:szCs w:val="22"/>
                <w:lang w:val="uk-UA"/>
              </w:rPr>
              <w:t>дедлайнів</w:t>
            </w:r>
            <w:proofErr w:type="spellEnd"/>
            <w:r>
              <w:rPr>
                <w:sz w:val="22"/>
                <w:szCs w:val="22"/>
                <w:lang w:val="uk-UA"/>
              </w:rPr>
              <w:t>, а також в умовах наявності непередбачуваних обставин. Наявність відкритих взаємовідносин для можливості конструктивного пошуку вирішення питань на різних ланках (</w:t>
            </w:r>
            <w:r w:rsidR="00EB3C35">
              <w:rPr>
                <w:sz w:val="22"/>
                <w:szCs w:val="22"/>
                <w:lang w:val="uk-UA"/>
              </w:rPr>
              <w:t xml:space="preserve">робочої групи, Правління Банку, Наглядової Ради) </w:t>
            </w:r>
          </w:p>
        </w:tc>
      </w:tr>
      <w:tr w:rsidR="00E354D0" w:rsidRPr="004C20A0" w:rsidTr="00D3093C">
        <w:trPr>
          <w:trHeight w:val="490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54D0" w:rsidRPr="00D3093C" w:rsidRDefault="004770D5" w:rsidP="00E354D0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A069FB" w:rsidRPr="00D3093C">
              <w:rPr>
                <w:sz w:val="22"/>
                <w:szCs w:val="22"/>
              </w:rPr>
              <w:t>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354D0" w:rsidRPr="00D3093C" w:rsidRDefault="00EB3C35" w:rsidP="00EB3C35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Здатність аудитора продемонструвати свою можливість покращити аудиторські процеси, наприклад з використанням технологій чи складом аудиторської команди </w:t>
            </w:r>
          </w:p>
        </w:tc>
      </w:tr>
      <w:tr w:rsidR="00E354D0" w:rsidRPr="004C20A0" w:rsidTr="00D3093C">
        <w:trPr>
          <w:trHeight w:val="490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54D0" w:rsidRPr="00D3093C" w:rsidRDefault="004770D5" w:rsidP="00E354D0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A069FB" w:rsidRPr="00D3093C">
              <w:rPr>
                <w:sz w:val="22"/>
                <w:szCs w:val="22"/>
              </w:rPr>
              <w:t>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354D0" w:rsidRPr="00D3093C" w:rsidRDefault="00EB3C35" w:rsidP="00EB3C35">
            <w:pPr>
              <w:tabs>
                <w:tab w:val="left" w:pos="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Наявність системи внутрішнього контроля якості аудитора </w:t>
            </w:r>
          </w:p>
        </w:tc>
      </w:tr>
      <w:tr w:rsidR="00E354D0" w:rsidRPr="00E354D0" w:rsidTr="00D3093C">
        <w:trPr>
          <w:trHeight w:val="143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4D0" w:rsidRPr="00D3093C" w:rsidRDefault="002008B4" w:rsidP="00E354D0">
            <w:pPr>
              <w:tabs>
                <w:tab w:val="left" w:pos="6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354D0" w:rsidRPr="00D3093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3093C" w:rsidRPr="00D3093C" w:rsidRDefault="00EB3C35" w:rsidP="00EB3C35">
            <w:pPr>
              <w:tabs>
                <w:tab w:val="left" w:pos="6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Якість наданих даних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D1F79" w:rsidRDefault="003D1F79"/>
    <w:p w:rsidR="00EB3C35" w:rsidRDefault="00EB3C35"/>
    <w:sectPr w:rsidR="00EB3C35" w:rsidSect="00D3093C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79"/>
    <w:rsid w:val="002008B4"/>
    <w:rsid w:val="003B64C3"/>
    <w:rsid w:val="003D1F79"/>
    <w:rsid w:val="004770D5"/>
    <w:rsid w:val="006F06DC"/>
    <w:rsid w:val="007E1E80"/>
    <w:rsid w:val="00986656"/>
    <w:rsid w:val="00A069FB"/>
    <w:rsid w:val="00C103F9"/>
    <w:rsid w:val="00D07106"/>
    <w:rsid w:val="00D1635A"/>
    <w:rsid w:val="00D3093C"/>
    <w:rsid w:val="00DC480A"/>
    <w:rsid w:val="00E354D0"/>
    <w:rsid w:val="00E80A77"/>
    <w:rsid w:val="00E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746A7-6293-44E4-A218-9C833024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 Ганна Володимирівна</dc:creator>
  <cp:keywords/>
  <dc:description/>
  <cp:lastModifiedBy>Полещук Олена Олегівна</cp:lastModifiedBy>
  <cp:revision>2</cp:revision>
  <dcterms:created xsi:type="dcterms:W3CDTF">2021-04-15T18:17:00Z</dcterms:created>
  <dcterms:modified xsi:type="dcterms:W3CDTF">2021-04-15T18:17:00Z</dcterms:modified>
</cp:coreProperties>
</file>